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Statuti dell'ente e delle aziende speciali, regolamenti nonche' criteri generali in materia di ordinamento degli uffici e dei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elaborazione e approvazione degli statuti dell'ente e delle aziende speciali, dei regolamenti nonche' dei criteri generali in materia di ordinamento degli uffici e dei servizi. I dati personali, di natura comune e identificativa, vengono in considerazione con riferimento alla fase di approvazione degli atti generali in questione e, in particolare con riferimento ai dati personali dei dipendenti chiamati a rilasciare i pareri e degli amministratori che intervengono nell'approvazione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52A35" w:rsidRDefault="00996D3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77A81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077A81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A52A35" w:rsidRDefault="00996D3E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077A81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A52A35" w:rsidRDefault="00996D3E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</w:t>
            </w:r>
            <w:r w:rsidRPr="007137E0">
              <w:rPr>
                <w:rFonts w:ascii="Arial" w:hAnsi="Arial"/>
                <w:color w:val="000000"/>
              </w:rPr>
              <w:lastRenderedPageBreak/>
              <w:t>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77A81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77A81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96D3E"/>
    <w:rsid w:val="00A12E3A"/>
    <w:rsid w:val="00A1704C"/>
    <w:rsid w:val="00A334AA"/>
    <w:rsid w:val="00A41A21"/>
    <w:rsid w:val="00A52A35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238E1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2026-05-30T21:56:00Z</dcterms:modified>
</cp:coreProperties>
</file>